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cs="Times New Roman"/>
          <w:b/>
          <w:bCs/>
          <w:sz w:val="40"/>
          <w:szCs w:val="48"/>
          <w:lang w:val="en-US" w:eastAsia="zh-CN"/>
        </w:rPr>
      </w:pPr>
      <w:r>
        <w:rPr>
          <w:rFonts w:hint="eastAsia" w:ascii="Times New Roman" w:hAnsi="Times New Roman" w:eastAsia="宋体" w:cs="Times New Roman"/>
          <w:b/>
          <w:bCs/>
          <w:sz w:val="40"/>
          <w:szCs w:val="48"/>
          <w:lang w:val="en-US" w:eastAsia="zh-CN"/>
        </w:rPr>
        <w:t>郑州市华中建机有限公司喷涂生产线建设项目</w:t>
      </w:r>
    </w:p>
    <w:p>
      <w:pPr>
        <w:spacing w:line="360" w:lineRule="auto"/>
        <w:jc w:val="center"/>
        <w:rPr>
          <w:rFonts w:ascii="Times New Roman" w:hAnsi="Times New Roman" w:eastAsia="宋体" w:cs="Times New Roman"/>
          <w:b/>
          <w:bCs/>
          <w:sz w:val="40"/>
          <w:szCs w:val="48"/>
        </w:rPr>
      </w:pPr>
      <w:r>
        <w:rPr>
          <w:rFonts w:ascii="Times New Roman" w:hAnsi="Times New Roman" w:eastAsia="宋体" w:cs="Times New Roman"/>
          <w:b/>
          <w:bCs/>
          <w:sz w:val="40"/>
          <w:szCs w:val="48"/>
        </w:rPr>
        <w:t>竣工验收</w:t>
      </w:r>
    </w:p>
    <w:p>
      <w:pPr>
        <w:spacing w:line="360" w:lineRule="auto"/>
        <w:ind w:firstLine="480" w:firstLineChars="200"/>
        <w:rPr>
          <w:rFonts w:ascii="宋体" w:hAnsi="宋体" w:eastAsia="宋体" w:cs="Times New Roman"/>
          <w:sz w:val="24"/>
        </w:rPr>
      </w:pPr>
      <w:r>
        <w:rPr>
          <w:rFonts w:ascii="宋体" w:hAnsi="宋体" w:eastAsia="宋体" w:cs="Times New Roman"/>
          <w:sz w:val="24"/>
        </w:rPr>
        <w:t>根据建设项目竣工环境保护验收程序的有关规定，经</w:t>
      </w:r>
      <w:r>
        <w:rPr>
          <w:rFonts w:hint="eastAsia" w:ascii="宋体" w:hAnsi="宋体" w:eastAsia="宋体" w:cs="Times New Roman"/>
          <w:sz w:val="24"/>
        </w:rPr>
        <w:t>评审</w:t>
      </w:r>
      <w:r>
        <w:rPr>
          <w:rFonts w:ascii="宋体" w:hAnsi="宋体" w:eastAsia="宋体" w:cs="Times New Roman"/>
          <w:sz w:val="24"/>
        </w:rPr>
        <w:t>，拟对以下建设项目做出竣工环境保护验收决定。为保证验收决定的严肃性和公正性，现将各建设项目竣工环境保护验收的基本情况予以公示。如有异议，请在公示期内反馈我</w:t>
      </w:r>
      <w:r>
        <w:rPr>
          <w:rFonts w:hint="eastAsia" w:ascii="宋体" w:hAnsi="宋体" w:eastAsia="宋体" w:cs="Times New Roman"/>
          <w:sz w:val="24"/>
        </w:rPr>
        <w:t>公司</w:t>
      </w:r>
      <w:r>
        <w:rPr>
          <w:rFonts w:ascii="宋体" w:hAnsi="宋体" w:eastAsia="宋体" w:cs="Times New Roman"/>
          <w:sz w:val="24"/>
        </w:rPr>
        <w:t>。公示期为</w:t>
      </w:r>
      <w:r>
        <w:rPr>
          <w:rFonts w:ascii="宋体" w:hAnsi="宋体" w:eastAsia="宋体" w:cs="Times New Roman"/>
          <w:sz w:val="24"/>
          <w:highlight w:val="none"/>
        </w:rPr>
        <w:t>201</w:t>
      </w:r>
      <w:r>
        <w:rPr>
          <w:rFonts w:hint="eastAsia" w:ascii="宋体" w:hAnsi="宋体" w:eastAsia="宋体" w:cs="Times New Roman"/>
          <w:sz w:val="24"/>
          <w:highlight w:val="none"/>
          <w:lang w:val="en-US" w:eastAsia="zh-CN"/>
        </w:rPr>
        <w:t>9</w:t>
      </w:r>
      <w:r>
        <w:rPr>
          <w:rFonts w:ascii="宋体" w:hAnsi="宋体" w:eastAsia="宋体" w:cs="Times New Roman"/>
          <w:sz w:val="24"/>
          <w:highlight w:val="none"/>
        </w:rPr>
        <w:t>年</w:t>
      </w:r>
      <w:r>
        <w:rPr>
          <w:rFonts w:hint="eastAsia" w:ascii="宋体" w:hAnsi="宋体" w:eastAsia="宋体" w:cs="Times New Roman"/>
          <w:sz w:val="24"/>
          <w:highlight w:val="none"/>
          <w:lang w:val="en-US" w:eastAsia="zh-CN"/>
        </w:rPr>
        <w:t>12</w:t>
      </w:r>
      <w:r>
        <w:rPr>
          <w:rFonts w:ascii="宋体" w:hAnsi="宋体" w:eastAsia="宋体" w:cs="Times New Roman"/>
          <w:sz w:val="24"/>
          <w:highlight w:val="none"/>
        </w:rPr>
        <w:t>月</w:t>
      </w:r>
      <w:r>
        <w:rPr>
          <w:rFonts w:hint="eastAsia" w:ascii="宋体" w:hAnsi="宋体" w:eastAsia="宋体" w:cs="Times New Roman"/>
          <w:sz w:val="24"/>
          <w:highlight w:val="none"/>
          <w:lang w:val="en-US" w:eastAsia="zh-CN"/>
        </w:rPr>
        <w:t>23</w:t>
      </w:r>
      <w:r>
        <w:rPr>
          <w:rFonts w:ascii="宋体" w:hAnsi="宋体" w:eastAsia="宋体" w:cs="Times New Roman"/>
          <w:sz w:val="24"/>
          <w:highlight w:val="none"/>
        </w:rPr>
        <w:t>日－20</w:t>
      </w:r>
      <w:r>
        <w:rPr>
          <w:rFonts w:hint="eastAsia" w:ascii="宋体" w:hAnsi="宋体" w:eastAsia="宋体" w:cs="Times New Roman"/>
          <w:sz w:val="24"/>
          <w:highlight w:val="none"/>
          <w:lang w:val="en-US" w:eastAsia="zh-CN"/>
        </w:rPr>
        <w:t>20</w:t>
      </w:r>
      <w:r>
        <w:rPr>
          <w:rFonts w:ascii="宋体" w:hAnsi="宋体" w:eastAsia="宋体" w:cs="Times New Roman"/>
          <w:sz w:val="24"/>
          <w:highlight w:val="none"/>
        </w:rPr>
        <w:t>年</w:t>
      </w:r>
      <w:r>
        <w:rPr>
          <w:rFonts w:hint="eastAsia" w:ascii="宋体" w:hAnsi="宋体" w:eastAsia="宋体" w:cs="Times New Roman"/>
          <w:sz w:val="24"/>
          <w:highlight w:val="none"/>
          <w:lang w:val="en-US" w:eastAsia="zh-CN"/>
        </w:rPr>
        <w:t>1</w:t>
      </w:r>
      <w:r>
        <w:rPr>
          <w:rFonts w:ascii="宋体" w:hAnsi="宋体" w:eastAsia="宋体" w:cs="Times New Roman"/>
          <w:sz w:val="24"/>
          <w:highlight w:val="none"/>
        </w:rPr>
        <w:t>月</w:t>
      </w:r>
      <w:r>
        <w:rPr>
          <w:rFonts w:hint="eastAsia" w:ascii="宋体" w:hAnsi="宋体" w:eastAsia="宋体" w:cs="Times New Roman"/>
          <w:sz w:val="24"/>
          <w:highlight w:val="none"/>
          <w:lang w:val="en-US" w:eastAsia="zh-CN"/>
        </w:rPr>
        <w:t>20</w:t>
      </w:r>
      <w:r>
        <w:rPr>
          <w:rFonts w:ascii="宋体" w:hAnsi="宋体" w:eastAsia="宋体" w:cs="Times New Roman"/>
          <w:sz w:val="24"/>
          <w:highlight w:val="none"/>
        </w:rPr>
        <w:t>日。</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拟验收建设项目</w:t>
      </w:r>
    </w:p>
    <w:p/>
    <w:p>
      <w:pPr>
        <w:widowControl/>
        <w:jc w:val="left"/>
        <w:sectPr>
          <w:pgSz w:w="11906" w:h="16838"/>
          <w:pgMar w:top="1440" w:right="1800" w:bottom="1440" w:left="1800" w:header="851" w:footer="992" w:gutter="0"/>
          <w:cols w:space="425" w:num="1"/>
          <w:docGrid w:type="lines" w:linePitch="312" w:charSpace="0"/>
        </w:sectPr>
      </w:pPr>
      <w:r>
        <w:br w:type="page"/>
      </w:r>
    </w:p>
    <w:tbl>
      <w:tblPr>
        <w:tblStyle w:val="4"/>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199"/>
        <w:gridCol w:w="1162"/>
        <w:gridCol w:w="3688"/>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57" w:type="dxa"/>
            <w:vAlign w:val="center"/>
          </w:tcPr>
          <w:p>
            <w:pPr>
              <w:spacing w:line="240" w:lineRule="auto"/>
              <w:jc w:val="center"/>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建设单位</w:t>
            </w:r>
          </w:p>
        </w:tc>
        <w:tc>
          <w:tcPr>
            <w:tcW w:w="1199" w:type="dxa"/>
            <w:vAlign w:val="center"/>
          </w:tcPr>
          <w:p>
            <w:pPr>
              <w:spacing w:line="240" w:lineRule="auto"/>
              <w:jc w:val="center"/>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建设地点</w:t>
            </w:r>
          </w:p>
        </w:tc>
        <w:tc>
          <w:tcPr>
            <w:tcW w:w="1162" w:type="dxa"/>
            <w:vAlign w:val="center"/>
          </w:tcPr>
          <w:p>
            <w:pPr>
              <w:spacing w:line="240" w:lineRule="auto"/>
              <w:jc w:val="center"/>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验收监测单位</w:t>
            </w:r>
          </w:p>
        </w:tc>
        <w:tc>
          <w:tcPr>
            <w:tcW w:w="3688" w:type="dxa"/>
            <w:vAlign w:val="center"/>
          </w:tcPr>
          <w:p>
            <w:pPr>
              <w:spacing w:line="240" w:lineRule="auto"/>
              <w:jc w:val="center"/>
              <w:rPr>
                <w:rFonts w:ascii="Times New Roman" w:hAnsi="Times New Roman" w:eastAsia="宋体" w:cs="Times New Roman"/>
                <w:b/>
                <w:bCs/>
                <w:color w:val="auto"/>
                <w:kern w:val="0"/>
                <w:sz w:val="24"/>
              </w:rPr>
            </w:pPr>
            <w:r>
              <w:rPr>
                <w:rFonts w:hint="eastAsia" w:ascii="宋体" w:hAnsi="宋体" w:eastAsia="宋体" w:cs="宋体"/>
                <w:b/>
                <w:bCs/>
                <w:color w:val="auto"/>
                <w:kern w:val="0"/>
                <w:sz w:val="24"/>
                <w:shd w:val="clear" w:color="auto" w:fill="FFFFFF"/>
              </w:rPr>
              <w:t>项目概况</w:t>
            </w:r>
          </w:p>
        </w:tc>
        <w:tc>
          <w:tcPr>
            <w:tcW w:w="7149" w:type="dxa"/>
            <w:vAlign w:val="center"/>
          </w:tcPr>
          <w:p>
            <w:pPr>
              <w:spacing w:line="240" w:lineRule="auto"/>
              <w:jc w:val="center"/>
              <w:rPr>
                <w:rFonts w:ascii="宋体" w:hAnsi="宋体" w:eastAsia="宋体" w:cs="宋体"/>
                <w:b/>
                <w:bCs/>
                <w:color w:val="auto"/>
                <w:kern w:val="0"/>
                <w:sz w:val="24"/>
                <w:shd w:val="clear" w:color="auto" w:fill="FFFFFF"/>
              </w:rPr>
            </w:pPr>
            <w:r>
              <w:rPr>
                <w:rFonts w:hint="eastAsia" w:ascii="宋体" w:hAnsi="宋体" w:eastAsia="宋体" w:cs="宋体"/>
                <w:b/>
                <w:bCs/>
                <w:color w:val="auto"/>
                <w:kern w:val="0"/>
                <w:sz w:val="24"/>
                <w:shd w:val="clear" w:color="auto" w:fill="FFFFFF"/>
              </w:rPr>
              <w:t>环保设施落实情况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1" w:hRule="atLeast"/>
        </w:trPr>
        <w:tc>
          <w:tcPr>
            <w:tcW w:w="857" w:type="dxa"/>
            <w:vAlign w:val="center"/>
          </w:tcPr>
          <w:p>
            <w:pPr>
              <w:spacing w:line="240" w:lineRule="auto"/>
              <w:jc w:val="center"/>
              <w:rPr>
                <w:rFonts w:ascii="Times New Roman" w:hAnsi="Times New Roman" w:eastAsia="宋体" w:cs="Times New Roman"/>
                <w:color w:val="auto"/>
                <w:kern w:val="0"/>
                <w:sz w:val="22"/>
                <w:szCs w:val="22"/>
              </w:rPr>
            </w:pPr>
            <w:r>
              <w:rPr>
                <w:rFonts w:hint="eastAsia" w:ascii="Times New Roman" w:hAnsi="Times New Roman" w:eastAsia="宋体" w:cs="Times New Roman"/>
                <w:color w:val="auto"/>
                <w:kern w:val="0"/>
                <w:sz w:val="22"/>
                <w:szCs w:val="22"/>
                <w:lang w:eastAsia="zh-CN"/>
              </w:rPr>
              <w:t>郑州市华中建机有限公司</w:t>
            </w:r>
          </w:p>
        </w:tc>
        <w:tc>
          <w:tcPr>
            <w:tcW w:w="1199" w:type="dxa"/>
            <w:vAlign w:val="center"/>
          </w:tcPr>
          <w:p>
            <w:pPr>
              <w:spacing w:line="240" w:lineRule="auto"/>
              <w:jc w:val="center"/>
              <w:rPr>
                <w:rFonts w:ascii="Times New Roman" w:hAnsi="Times New Roman" w:eastAsia="宋体" w:cs="Times New Roman"/>
                <w:color w:val="0000FF"/>
                <w:kern w:val="0"/>
                <w:sz w:val="22"/>
                <w:szCs w:val="22"/>
              </w:rPr>
            </w:pPr>
            <w:r>
              <w:rPr>
                <w:rFonts w:hint="eastAsia" w:ascii="Times New Roman" w:hAnsi="Times New Roman" w:eastAsia="宋体"/>
                <w:color w:val="000000"/>
                <w:kern w:val="2"/>
                <w:sz w:val="21"/>
                <w:szCs w:val="21"/>
                <w:lang w:val="zh-TW" w:eastAsia="zh-CN"/>
              </w:rPr>
              <w:t>郑州市上街区工业路136号</w:t>
            </w:r>
          </w:p>
        </w:tc>
        <w:tc>
          <w:tcPr>
            <w:tcW w:w="1162" w:type="dxa"/>
            <w:vAlign w:val="center"/>
          </w:tcPr>
          <w:p>
            <w:pPr>
              <w:spacing w:line="240" w:lineRule="auto"/>
              <w:jc w:val="center"/>
              <w:rPr>
                <w:rFonts w:hint="default" w:ascii="Times New Roman" w:hAnsi="Times New Roman" w:eastAsia="宋体" w:cs="Times New Roman"/>
                <w:color w:val="0000FF"/>
                <w:kern w:val="0"/>
                <w:sz w:val="22"/>
                <w:szCs w:val="22"/>
                <w:lang w:val="en-US" w:eastAsia="zh-CN"/>
              </w:rPr>
            </w:pPr>
            <w:r>
              <w:rPr>
                <w:rFonts w:hint="eastAsia" w:ascii="Times New Roman" w:hAnsi="Times New Roman" w:eastAsia="宋体" w:cs="Times New Roman"/>
                <w:color w:val="auto"/>
                <w:kern w:val="0"/>
                <w:sz w:val="22"/>
                <w:szCs w:val="22"/>
              </w:rPr>
              <w:t>河南</w:t>
            </w:r>
            <w:r>
              <w:rPr>
                <w:rFonts w:hint="eastAsia" w:ascii="Times New Roman" w:hAnsi="Times New Roman" w:eastAsia="宋体" w:cs="Times New Roman"/>
                <w:color w:val="auto"/>
                <w:kern w:val="0"/>
                <w:sz w:val="22"/>
                <w:szCs w:val="22"/>
                <w:lang w:val="en-US" w:eastAsia="zh-CN"/>
              </w:rPr>
              <w:t>贝纳检测技术有限公司</w:t>
            </w:r>
          </w:p>
        </w:tc>
        <w:tc>
          <w:tcPr>
            <w:tcW w:w="3688" w:type="dxa"/>
            <w:vAlign w:val="center"/>
          </w:tcPr>
          <w:p>
            <w:pPr>
              <w:spacing w:line="240" w:lineRule="auto"/>
              <w:jc w:val="left"/>
              <w:rPr>
                <w:rFonts w:ascii="Times New Roman" w:hAnsi="Times New Roman" w:eastAsia="宋体" w:cs="Times New Roman"/>
                <w:color w:val="0000FF"/>
                <w:kern w:val="0"/>
                <w:sz w:val="22"/>
                <w:szCs w:val="22"/>
              </w:rPr>
            </w:pPr>
            <w:r>
              <w:rPr>
                <w:rFonts w:hint="eastAsia" w:ascii="Times New Roman" w:hAnsi="Times New Roman" w:eastAsia="宋体" w:cs="Times New Roman"/>
                <w:color w:val="auto"/>
                <w:kern w:val="0"/>
                <w:sz w:val="22"/>
                <w:szCs w:val="22"/>
                <w:lang w:eastAsia="zh-CN"/>
              </w:rPr>
              <w:t>本项目位于郑州市华中建机有限公司东厂区（郑州市上街区工业路136号）东北角。厂区北侧为郑州天一光电科技材料有限公司，东侧为金河田汽车修理店，南侧紧邻工业路，西侧紧邻淮阳路，隔路为德润游乐和天源橡胶。本次实际总投资为100万元，其中环保投资为54万元，占总投资的54%。</w:t>
            </w:r>
          </w:p>
        </w:tc>
        <w:tc>
          <w:tcPr>
            <w:tcW w:w="7149" w:type="dxa"/>
            <w:vAlign w:val="center"/>
          </w:tcPr>
          <w:p>
            <w:pPr>
              <w:spacing w:line="240" w:lineRule="auto"/>
              <w:jc w:val="left"/>
              <w:rPr>
                <w:rFonts w:hint="eastAsia" w:ascii="Times New Roman" w:hAnsi="Times New Roman" w:eastAsia="宋体" w:cs="Times New Roman"/>
                <w:b w:val="0"/>
                <w:bCs w:val="0"/>
                <w:color w:val="auto"/>
                <w:kern w:val="0"/>
                <w:sz w:val="22"/>
                <w:szCs w:val="22"/>
              </w:rPr>
            </w:pPr>
            <w:r>
              <w:rPr>
                <w:rFonts w:ascii="Times New Roman" w:hAnsi="Times New Roman" w:eastAsia="宋体" w:cs="Times New Roman"/>
                <w:b/>
                <w:bCs/>
                <w:color w:val="auto"/>
                <w:kern w:val="0"/>
                <w:sz w:val="22"/>
                <w:szCs w:val="22"/>
              </w:rPr>
              <w:t>1、废水</w:t>
            </w:r>
            <w:r>
              <w:rPr>
                <w:rFonts w:hint="eastAsia" w:ascii="Times New Roman" w:hAnsi="Times New Roman" w:eastAsia="宋体" w:cs="Times New Roman"/>
                <w:b/>
                <w:bCs/>
                <w:color w:val="auto"/>
                <w:kern w:val="0"/>
                <w:sz w:val="22"/>
                <w:szCs w:val="22"/>
                <w:lang w:eastAsia="zh-CN"/>
              </w:rPr>
              <w:t>：</w:t>
            </w:r>
            <w:r>
              <w:rPr>
                <w:rFonts w:hint="eastAsia" w:ascii="Times New Roman" w:hAnsi="Times New Roman" w:eastAsia="宋体" w:cs="Times New Roman"/>
                <w:b w:val="0"/>
                <w:bCs w:val="0"/>
                <w:color w:val="auto"/>
                <w:kern w:val="0"/>
                <w:sz w:val="22"/>
                <w:szCs w:val="22"/>
                <w:lang w:eastAsia="zh-CN"/>
              </w:rPr>
              <w:t>本项目为技改工程，不新增劳动定员，无新增生活废水产生，且主要为涂装工序，无生产废水产生，因此本项目无废水产生。</w:t>
            </w:r>
          </w:p>
          <w:p>
            <w:pPr>
              <w:spacing w:line="240" w:lineRule="auto"/>
              <w:jc w:val="left"/>
              <w:rPr>
                <w:rFonts w:hint="eastAsia" w:ascii="Times New Roman" w:hAnsi="Times New Roman" w:eastAsia="宋体" w:cs="Times New Roman"/>
                <w:b w:val="0"/>
                <w:bCs w:val="0"/>
                <w:color w:val="auto"/>
                <w:kern w:val="0"/>
                <w:sz w:val="22"/>
                <w:szCs w:val="22"/>
                <w:lang w:eastAsia="zh-CN"/>
              </w:rPr>
            </w:pPr>
            <w:r>
              <w:rPr>
                <w:rFonts w:ascii="Times New Roman" w:hAnsi="Times New Roman" w:eastAsia="宋体" w:cs="Times New Roman"/>
                <w:b/>
                <w:bCs/>
                <w:color w:val="auto"/>
                <w:kern w:val="0"/>
                <w:sz w:val="22"/>
                <w:szCs w:val="22"/>
              </w:rPr>
              <w:t>2、废气</w:t>
            </w:r>
            <w:r>
              <w:rPr>
                <w:rFonts w:hint="eastAsia" w:ascii="Times New Roman" w:hAnsi="Times New Roman" w:eastAsia="宋体" w:cs="Times New Roman"/>
                <w:b/>
                <w:bCs/>
                <w:color w:val="auto"/>
                <w:kern w:val="0"/>
                <w:sz w:val="22"/>
                <w:szCs w:val="22"/>
                <w:lang w:eastAsia="zh-CN"/>
              </w:rPr>
              <w:t>：</w:t>
            </w:r>
            <w:r>
              <w:rPr>
                <w:rFonts w:hint="eastAsia" w:ascii="Times New Roman" w:hAnsi="Times New Roman" w:eastAsia="宋体" w:cs="Times New Roman"/>
                <w:b w:val="0"/>
                <w:bCs w:val="0"/>
                <w:color w:val="auto"/>
                <w:kern w:val="0"/>
                <w:sz w:val="22"/>
                <w:szCs w:val="22"/>
                <w:lang w:eastAsia="zh-CN"/>
              </w:rPr>
              <w:t>项目有组织废气包括涂装工序产生的调漆废气、喷漆废气、流平废气、烘干废气、喷枪清洗废气，以及危废暂存间产生的废气。无组织废气涂装工序在喷漆房及烘干房开闭过程中会有少量有机废气。其中调漆废气和喷漆废气经干式漆雾过滤器+活性炭吸附处理后由15m高排气筒；流平废气、烘干废气及危废暂存间废气经催化燃烧装置处理后由15m高排气筒排放。</w:t>
            </w:r>
          </w:p>
          <w:p>
            <w:pPr>
              <w:spacing w:line="240" w:lineRule="auto"/>
              <w:jc w:val="left"/>
              <w:rPr>
                <w:rFonts w:hint="eastAsia" w:ascii="Times New Roman" w:hAnsi="Times New Roman" w:eastAsia="宋体" w:cs="Times New Roman"/>
                <w:b w:val="0"/>
                <w:bCs w:val="0"/>
                <w:color w:val="auto"/>
                <w:kern w:val="0"/>
                <w:sz w:val="22"/>
                <w:szCs w:val="22"/>
                <w:lang w:eastAsia="zh-CN"/>
              </w:rPr>
            </w:pPr>
            <w:r>
              <w:rPr>
                <w:rFonts w:ascii="Times New Roman" w:hAnsi="Times New Roman" w:eastAsia="宋体" w:cs="Times New Roman"/>
                <w:b/>
                <w:bCs/>
                <w:color w:val="auto"/>
                <w:kern w:val="0"/>
                <w:sz w:val="22"/>
                <w:szCs w:val="22"/>
              </w:rPr>
              <w:t>3、噪声</w:t>
            </w:r>
            <w:r>
              <w:rPr>
                <w:rFonts w:hint="eastAsia" w:ascii="Times New Roman" w:hAnsi="Times New Roman" w:eastAsia="宋体" w:cs="Times New Roman"/>
                <w:b/>
                <w:bCs/>
                <w:color w:val="auto"/>
                <w:kern w:val="0"/>
                <w:sz w:val="22"/>
                <w:szCs w:val="22"/>
                <w:lang w:eastAsia="zh-CN"/>
              </w:rPr>
              <w:t>：</w:t>
            </w:r>
            <w:r>
              <w:rPr>
                <w:rFonts w:hint="eastAsia" w:ascii="Times New Roman" w:hAnsi="Times New Roman" w:eastAsia="宋体" w:cs="Times New Roman"/>
                <w:b w:val="0"/>
                <w:bCs w:val="0"/>
                <w:color w:val="auto"/>
                <w:kern w:val="0"/>
                <w:sz w:val="22"/>
                <w:szCs w:val="22"/>
                <w:lang w:eastAsia="zh-CN"/>
              </w:rPr>
              <w:t>本项目高噪设备主要为涂装工序各类风机、空压机等，综合考虑各噪声源的叠加影响，各噪声源采取低噪声设备、室内安装、设置隔声罩、设置减振基础、建筑隔声等降噪措施。</w:t>
            </w:r>
          </w:p>
          <w:p>
            <w:pPr>
              <w:spacing w:line="240" w:lineRule="auto"/>
              <w:jc w:val="left"/>
              <w:rPr>
                <w:rFonts w:hint="eastAsia" w:ascii="Times New Roman" w:hAnsi="Times New Roman" w:eastAsia="宋体" w:cs="Times New Roman"/>
                <w:color w:val="0000FF"/>
                <w:kern w:val="0"/>
                <w:sz w:val="22"/>
                <w:szCs w:val="22"/>
                <w:lang w:eastAsia="zh-CN"/>
              </w:rPr>
            </w:pPr>
            <w:r>
              <w:rPr>
                <w:rFonts w:ascii="Times New Roman" w:hAnsi="Times New Roman" w:eastAsia="宋体" w:cs="Times New Roman"/>
                <w:b/>
                <w:bCs/>
                <w:color w:val="auto"/>
                <w:kern w:val="0"/>
                <w:sz w:val="22"/>
                <w:szCs w:val="22"/>
              </w:rPr>
              <w:t>4、固体废物</w:t>
            </w:r>
            <w:r>
              <w:rPr>
                <w:rFonts w:hint="eastAsia" w:ascii="Times New Roman" w:hAnsi="Times New Roman" w:eastAsia="宋体" w:cs="Times New Roman"/>
                <w:b/>
                <w:bCs/>
                <w:color w:val="auto"/>
                <w:kern w:val="0"/>
                <w:sz w:val="22"/>
                <w:szCs w:val="22"/>
                <w:lang w:eastAsia="zh-CN"/>
              </w:rPr>
              <w:t>：</w:t>
            </w:r>
            <w:r>
              <w:rPr>
                <w:rFonts w:hint="eastAsia" w:ascii="Times New Roman" w:hAnsi="Times New Roman" w:eastAsia="宋体" w:cs="Times New Roman"/>
                <w:b w:val="0"/>
                <w:bCs w:val="0"/>
                <w:color w:val="auto"/>
                <w:kern w:val="0"/>
                <w:sz w:val="22"/>
                <w:szCs w:val="22"/>
                <w:lang w:eastAsia="zh-CN"/>
              </w:rPr>
              <w:t>本项目产生的固废主要有废过滤棉、废活性炭、废油漆桶、废稀释剂桶、废催化剂，均属于危险废物，各危险废物暂存于危废暂存间，定期委托威顿水泥集团有限公司进行安全处置。</w:t>
            </w:r>
            <w:bookmarkStart w:id="0" w:name="_GoBack"/>
            <w:bookmarkEnd w:id="0"/>
          </w:p>
        </w:tc>
      </w:tr>
    </w:tbl>
    <w:p>
      <w:pPr>
        <w:widowControl/>
        <w:jc w:val="left"/>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D5922"/>
    <w:rsid w:val="1F2D5922"/>
    <w:rsid w:val="322A67D7"/>
    <w:rsid w:val="378D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semiHidden/>
    <w:unhideWhenUsed/>
    <w:qFormat/>
    <w:uiPriority w:val="99"/>
    <w:pPr>
      <w:snapToGrid w:val="0"/>
      <w:spacing w:line="408" w:lineRule="auto"/>
      <w:ind w:left="-113" w:right="-510" w:firstLine="510"/>
    </w:pPr>
    <w:rPr>
      <w:sz w:val="24"/>
      <w:szCs w:val="20"/>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2019-12-24T01:07:00Z</dcterms:created>
  <dc:creator>陈丫头</dc:creator>
  <cp:lastModifiedBy>陈丫头</cp:lastModifiedBy>
  <dcterms:modified xsi:type="dcterms:W3CDTF">2019-12-24T01:54:46Z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